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İLETİŞİM FORMU AYDINLATMA METNİ</w:t>
      </w:r>
    </w:p>
    <w:p>
      <w:pPr>
        <w:pBdr>
          <w:bottom w:val="single" w:color="1F6FB2" w:sz="12" w:space="8"/>
        </w:pBdr>
        <w:spacing w:after="240"/>
        <w:jc w:val="center"/>
      </w:pPr>
      <w:r>
        <w:rPr>
          <w:rFonts w:ascii="Calibri" w:cs="Calibri" w:eastAsia="Calibri" w:hAnsi="Calibri"/>
          <w:color w:val="595959"/>
          <w:sz w:val="20"/>
          <w:szCs w:val="20"/>
        </w:rPr>
        <w:t xml:space="preserve">UNG Teknoloji — www.ungteknoloji.com</w:t>
      </w:r>
    </w:p>
    <w:p>
      <w:pPr>
        <w:spacing w:after="100" w:before="0" w:line="264"/>
        <w:jc w:val="both"/>
      </w:pPr>
      <w:r>
        <w:rPr>
          <w:rFonts w:ascii="Calibri" w:cs="Calibri" w:eastAsia="Calibri" w:hAnsi="Calibri"/>
          <w:b w:val="false"/>
          <w:bCs w:val="false"/>
          <w:i w:val="false"/>
          <w:iCs w:val="false"/>
          <w:color w:val="1A1A1A"/>
          <w:sz w:val="20"/>
          <w:szCs w:val="20"/>
        </w:rPr>
        <w:t xml:space="preserve">İşbu metin, www.ungteknoloji.com internet sitesinde yer alan iletişim formu aracılığıyla iletilen kişisel verilerin işlenmesine ilişkin olarak, 6698 sayılı Kişisel Verilerin Korunması Kanunu’nun (“Kanun”) 10’uncu maddesi ve Aydınlatma Yükümlülüğünün Yerine Getirilmesinde Uyulacak Usul ve Esaslar Hakkında Tebliğ uyarınca hazırlanmıştır.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 Veri Sorumlusu</w:t>
      </w:r>
    </w:p>
    <w:p>
      <w:pPr>
        <w:spacing w:after="100" w:before="0" w:line="264"/>
        <w:jc w:val="both"/>
      </w:pPr>
      <w:r>
        <w:rPr>
          <w:rFonts w:ascii="Calibri" w:cs="Calibri" w:eastAsia="Calibri" w:hAnsi="Calibri"/>
          <w:b w:val="false"/>
          <w:bCs w:val="false"/>
          <w:i w:val="false"/>
          <w:iCs w:val="false"/>
          <w:color w:val="1A1A1A"/>
          <w:sz w:val="20"/>
          <w:szCs w:val="20"/>
        </w:rPr>
        <w:t xml:space="preserve">Veri sorumlusu, UNG Sağlık Teknolojileri Ürünleri ve Hizmetleri Ltd. Şti.’dir. Adres: İstanbul Kültür Üniversitesi Ataköy Yerleşkesi (İKUANTS TEKMER), Bakırköy / İstanbul. Telefon: +90 (533) 132 96 30. E-posta: info@ungmedical.com.</w:t>
      </w:r>
    </w:p>
    <w:p>
      <w:pPr>
        <w:pStyle w:val="Heading1"/>
        <w:pBdr>
          <w:bottom w:val="single" w:color="C9D6E2" w:sz="8" w:space="6"/>
        </w:pBdr>
        <w:spacing w:after="160" w:before="320"/>
      </w:pPr>
      <w:r>
        <w:rPr>
          <w:rFonts w:ascii="Calibri" w:cs="Calibri" w:eastAsia="Calibri" w:hAnsi="Calibri"/>
          <w:b/>
          <w:bCs/>
          <w:color w:val="13314F"/>
          <w:sz w:val="24"/>
          <w:szCs w:val="24"/>
        </w:rPr>
        <w:t xml:space="preserve">2. İşlenen Kişisel Veriler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200"/>
        <w:gridCol w:w="3238"/>
        <w:gridCol w:w="2200"/>
      </w:tblGrid>
      <w:tr>
        <w:trPr>
          <w:tblHeader/>
        </w:trPr>
        <w:tc>
          <w:tcPr>
            <w:tcW w:type="dxa" w:w="42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Form Alanı</w:t>
            </w:r>
          </w:p>
        </w:tc>
        <w:tc>
          <w:tcPr>
            <w:tcW w:type="dxa" w:w="32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Veri Kategorisi</w:t>
            </w:r>
          </w:p>
        </w:tc>
        <w:tc>
          <w:tcPr>
            <w:tcW w:type="dxa" w:w="22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Zorunlu / İsteğe Bağlı</w:t>
            </w:r>
          </w:p>
        </w:tc>
      </w:tr>
      <w:tr>
        <w:tc>
          <w:tcPr>
            <w:tcW w:type="dxa" w:w="4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 Soyad</w:t>
            </w:r>
          </w:p>
        </w:tc>
        <w:tc>
          <w:tcPr>
            <w:tcW w:type="dxa" w:w="3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w:t>
            </w:r>
          </w:p>
        </w:tc>
        <w:tc>
          <w:tcPr>
            <w:tcW w:type="dxa" w:w="2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r>
      <w:tr>
        <w:tc>
          <w:tcPr>
            <w:tcW w:type="dxa" w:w="4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E-posta</w:t>
            </w:r>
          </w:p>
        </w:tc>
        <w:tc>
          <w:tcPr>
            <w:tcW w:type="dxa" w:w="3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w:t>
            </w:r>
          </w:p>
        </w:tc>
        <w:tc>
          <w:tcPr>
            <w:tcW w:type="dxa" w:w="2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r>
      <w:tr>
        <w:tc>
          <w:tcPr>
            <w:tcW w:type="dxa" w:w="4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Telefon</w:t>
            </w:r>
          </w:p>
        </w:tc>
        <w:tc>
          <w:tcPr>
            <w:tcW w:type="dxa" w:w="3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w:t>
            </w:r>
          </w:p>
        </w:tc>
        <w:tc>
          <w:tcPr>
            <w:tcW w:type="dxa" w:w="2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İsteğe bağlı</w:t>
            </w:r>
          </w:p>
        </w:tc>
      </w:tr>
      <w:tr>
        <w:tc>
          <w:tcPr>
            <w:tcW w:type="dxa" w:w="4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Mesajınız (serbest metin)</w:t>
            </w:r>
          </w:p>
        </w:tc>
        <w:tc>
          <w:tcPr>
            <w:tcW w:type="dxa" w:w="3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Diğer / Talep-Şikâyet Yönetimi</w:t>
            </w:r>
          </w:p>
        </w:tc>
        <w:tc>
          <w:tcPr>
            <w:tcW w:type="dxa" w:w="2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r>
      <w:tr>
        <w:tc>
          <w:tcPr>
            <w:tcW w:type="dxa" w:w="4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Form gönderimine ilişkin teknik kayıtlar (IP adresi, gönderim tarih ve saati)</w:t>
            </w:r>
          </w:p>
        </w:tc>
        <w:tc>
          <w:tcPr>
            <w:tcW w:type="dxa" w:w="3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İşlem Güvenliği</w:t>
            </w:r>
          </w:p>
        </w:tc>
        <w:tc>
          <w:tcPr>
            <w:tcW w:type="dxa" w:w="2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Otomatik olarak kaydedilir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3. İşleme Amaçları</w:t>
      </w:r>
    </w:p>
    <w:p>
      <w:pPr>
        <w:pStyle w:val="ListParagraph"/>
        <w:numPr>
          <w:ilvl w:val="0"/>
          <w:numId w:val="2"/>
        </w:numPr>
        <w:spacing w:after="60" w:line="264"/>
        <w:jc w:val="both"/>
      </w:pPr>
      <w:r>
        <w:rPr>
          <w:rFonts w:ascii="Calibri" w:cs="Calibri" w:eastAsia="Calibri" w:hAnsi="Calibri"/>
          <w:color w:val="1A1A1A"/>
          <w:sz w:val="20"/>
          <w:szCs w:val="20"/>
        </w:rPr>
        <w:t xml:space="preserve">İletişim, bilgi, ürün ve demo taleplerinin alınması, değerlendirilmesi ve yanıtlanması,</w:t>
      </w:r>
    </w:p>
    <w:p>
      <w:pPr>
        <w:pStyle w:val="ListParagraph"/>
        <w:numPr>
          <w:ilvl w:val="0"/>
          <w:numId w:val="2"/>
        </w:numPr>
        <w:spacing w:after="60" w:line="264"/>
        <w:jc w:val="both"/>
      </w:pPr>
      <w:r>
        <w:rPr>
          <w:rFonts w:ascii="Calibri" w:cs="Calibri" w:eastAsia="Calibri" w:hAnsi="Calibri"/>
          <w:color w:val="1A1A1A"/>
          <w:sz w:val="20"/>
          <w:szCs w:val="20"/>
        </w:rPr>
        <w:t xml:space="preserve">İş birliği ve proje tekliflerinin değerlendirilmesi ile sözleşme öncesi görüşmelerin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Talep ve şikâyetlerin takibi ile müşteri/paydaş ilişkileri süreçlerinin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Form altyapısının güvenliğinin sağlanması ve kötüye kullanımın (spam, otomatik gönderim, saldırı) önlenmesi,</w:t>
      </w:r>
    </w:p>
    <w:p>
      <w:pPr>
        <w:pStyle w:val="ListParagraph"/>
        <w:numPr>
          <w:ilvl w:val="0"/>
          <w:numId w:val="2"/>
        </w:numPr>
        <w:spacing w:after="60" w:line="264"/>
        <w:jc w:val="both"/>
      </w:pPr>
      <w:r>
        <w:rPr>
          <w:rFonts w:ascii="Calibri" w:cs="Calibri" w:eastAsia="Calibri" w:hAnsi="Calibri"/>
          <w:color w:val="1A1A1A"/>
          <w:sz w:val="20"/>
          <w:szCs w:val="20"/>
        </w:rPr>
        <w:t xml:space="preserve">Gerekmesi hâlinde hukuki taleplerin tesisi, kullanılması veya korunması.</w:t>
      </w:r>
    </w:p>
    <w:p>
      <w:pPr>
        <w:pStyle w:val="Heading1"/>
        <w:pBdr>
          <w:bottom w:val="single" w:color="C9D6E2" w:sz="8" w:space="6"/>
        </w:pBdr>
        <w:spacing w:after="160" w:before="320"/>
      </w:pPr>
      <w:r>
        <w:rPr>
          <w:rFonts w:ascii="Calibri" w:cs="Calibri" w:eastAsia="Calibri" w:hAnsi="Calibri"/>
          <w:b/>
          <w:bCs/>
          <w:color w:val="13314F"/>
          <w:sz w:val="24"/>
          <w:szCs w:val="24"/>
        </w:rPr>
        <w:t xml:space="preserve">4. Hukuki Sebepler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400"/>
        <w:gridCol w:w="5238"/>
      </w:tblGrid>
      <w:tr>
        <w:trPr>
          <w:tblHeader/>
        </w:trPr>
        <w:tc>
          <w:tcPr>
            <w:tcW w:type="dxa" w:w="44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İşleme Amacı</w:t>
            </w:r>
          </w:p>
        </w:tc>
        <w:tc>
          <w:tcPr>
            <w:tcW w:type="dxa" w:w="52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Hukuki Sebep (KVKK m. 5)</w:t>
            </w:r>
          </w:p>
        </w:tc>
      </w:tr>
      <w:tr>
        <w:tc>
          <w:tcPr>
            <w:tcW w:type="dxa" w:w="44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Talebin alınması, değerlendirilmesi ve yanıtlanması</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5/2-c — Sözleşmenin kurulması veya ifasıyla doğrudan doğruya ilgili olması</w:t>
            </w:r>
          </w:p>
        </w:tc>
      </w:tr>
      <w:tr>
        <w:tc>
          <w:tcPr>
            <w:tcW w:type="dxa" w:w="44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Paydaş ilişkilerinin yürütülmesi ve kayıt tutulması</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5/2-f — Veri sorumlusunun meşru menfaati</w:t>
            </w:r>
          </w:p>
        </w:tc>
      </w:tr>
      <w:tr>
        <w:tc>
          <w:tcPr>
            <w:tcW w:type="dxa" w:w="44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Form güvenliğinin sağlanması ve kötüye kullanımın önlenmesi</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5/2-f — Veri sorumlusunun meşru menfaati</w:t>
            </w:r>
          </w:p>
        </w:tc>
      </w:tr>
      <w:tr>
        <w:tc>
          <w:tcPr>
            <w:tcW w:type="dxa" w:w="44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Hukuki uyuşmazlık hâlinde savunma hakkının kullanılması</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5/2-e — Bir hakkın tesisi, kullanılması veya korunması</w:t>
            </w:r>
          </w:p>
        </w:tc>
      </w:tr>
    </w:tbl>
    <w:p>
      <w:pPr>
        <w:spacing w:after="100" w:before="0" w:line="264"/>
        <w:jc w:val="both"/>
      </w:pPr>
      <w:r>
        <w:rPr>
          <w:rFonts w:ascii="Calibri" w:cs="Calibri" w:eastAsia="Calibri" w:hAnsi="Calibri"/>
          <w:b w:val="false"/>
          <w:bCs w:val="false"/>
          <w:i w:val="false"/>
          <w:iCs w:val="false"/>
          <w:color w:val="1A1A1A"/>
          <w:sz w:val="20"/>
          <w:szCs w:val="20"/>
        </w:rPr>
        <w:t xml:space="preserve">İletişim formunun kullanımı için açık rıza alınmamaktadır; işleme faaliyeti yukarıdaki hukuki sebeplere dayanmaktadır. Talebiniz kapsamında tarafınıza ticari elektronik ileti gönderilmesi ancak ayrıca ve açıkça onay vermeniz hâlinde mümkündür.</w:t>
      </w:r>
    </w:p>
    <w:p>
      <w:pPr>
        <w:pStyle w:val="Heading1"/>
        <w:pBdr>
          <w:bottom w:val="single" w:color="C9D6E2" w:sz="8" w:space="6"/>
        </w:pBdr>
        <w:spacing w:after="160" w:before="320"/>
      </w:pPr>
      <w:r>
        <w:rPr>
          <w:rFonts w:ascii="Calibri" w:cs="Calibri" w:eastAsia="Calibri" w:hAnsi="Calibri"/>
          <w:b/>
          <w:bCs/>
          <w:color w:val="13314F"/>
          <w:sz w:val="24"/>
          <w:szCs w:val="24"/>
        </w:rPr>
        <w:t xml:space="preserve">5. Toplama Yöntemi</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internet sitemizdeki iletişim formunu doldurup göndermeniz suretiyle elektronik ortamda, kısmen otomatik yollarla toplanmaktadır.</w:t>
      </w:r>
    </w:p>
    <w:p>
      <w:pPr>
        <w:pStyle w:val="Heading1"/>
        <w:pBdr>
          <w:bottom w:val="single" w:color="C9D6E2" w:sz="8" w:space="6"/>
        </w:pBdr>
        <w:spacing w:after="160" w:before="320"/>
      </w:pPr>
      <w:r>
        <w:rPr>
          <w:rFonts w:ascii="Calibri" w:cs="Calibri" w:eastAsia="Calibri" w:hAnsi="Calibri"/>
          <w:b/>
          <w:bCs/>
          <w:color w:val="13314F"/>
          <w:sz w:val="24"/>
          <w:szCs w:val="24"/>
        </w:rPr>
        <w:t xml:space="preserve">6. Özel Nitelikli Veriler Hakkında Uyarı</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Özel Nitelikli Kişisel Veriler</w:t>
            </w:r>
          </w:p>
          <w:p>
            <w:pPr>
              <w:spacing w:after="60" w:line="264"/>
              <w:jc w:val="both"/>
            </w:pPr>
            <w:r>
              <w:rPr>
                <w:rFonts w:ascii="Calibri" w:cs="Calibri" w:eastAsia="Calibri" w:hAnsi="Calibri"/>
                <w:color w:val="1A1A1A"/>
                <w:sz w:val="19"/>
                <w:szCs w:val="19"/>
              </w:rPr>
              <w:t xml:space="preserve">UNG Teknoloji; yapay zekâ, yazılım, medikal cihaz, dijital sağlık ve mühendislik alanlarında faaliyet gösteren bir teknoloji ve Ar-Ge kuruluşudur. İletişim formu; hasta danışmanlığı, tanı, tedavi önerisi veya tıbbi değerlendirme talebi iletmek amacıyla kullanılamaz.</w:t>
            </w:r>
          </w:p>
          <w:p>
            <w:pPr>
              <w:spacing w:after="60" w:line="264"/>
              <w:jc w:val="both"/>
            </w:pPr>
            <w:r>
              <w:rPr>
                <w:rFonts w:ascii="Calibri" w:cs="Calibri" w:eastAsia="Calibri" w:hAnsi="Calibri"/>
                <w:color w:val="1A1A1A"/>
                <w:sz w:val="19"/>
                <w:szCs w:val="19"/>
              </w:rPr>
              <w:t xml:space="preserve">Mesaj alanına sağlık durumunuza, tıbbi geçmişinize, kullandığınız ilaçlara, biyometrik verilerinize, ceza mahkûmiyetinize, din veya felsefi inancınıza, dernek, vakıf ya da sendika üyeliğinize ilişkin bilgi girilmemesi gerekmektedir.</w:t>
            </w:r>
          </w:p>
          <w:p>
            <w:pPr>
              <w:spacing w:after="60" w:line="264"/>
              <w:jc w:val="both"/>
            </w:pPr>
            <w:r>
              <w:rPr>
                <w:rFonts w:ascii="Calibri" w:cs="Calibri" w:eastAsia="Calibri" w:hAnsi="Calibri"/>
                <w:color w:val="1A1A1A"/>
                <w:sz w:val="19"/>
                <w:szCs w:val="19"/>
              </w:rPr>
              <w:t xml:space="preserve">Bu tür özel nitelikli kişisel verilerin tarafımıza iletilmesi hâlinde ilgili veriler, işleme amacı bakımından gerekli olmadığından değerlendirmeye alınmaz ve mevzuata uygun şekilde en kısa sürede imha edilir.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7. Kişisel Verilerin Aktarılması</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Kanun’un 8’inci maddesinde öngörülen şartlar çerçevesinde ve yalnızca işleme amaçlarıyla sınırlı olarak; bilgi teknolojileri hizmet sağlayıcılarımıza (barındırma ve elektronik posta hizmetleri), talebinizin niteliğine göre ilgili iş birimimize ve gerekli olması hâlinde hukuk danışmanlarımıza aktarılabilir. Mevzuattan kaynaklanan talepler çerçevesinde yetkili kamu kurum ve kuruluşları ile yargı mercilerine aktarım yapılabilir.</w:t>
      </w:r>
    </w:p>
    <w:p>
      <w:pPr>
        <w:spacing w:after="100" w:before="0" w:line="264"/>
        <w:jc w:val="both"/>
      </w:pPr>
      <w:r>
        <w:rPr>
          <w:rFonts w:ascii="Calibri" w:cs="Calibri" w:eastAsia="Calibri" w:hAnsi="Calibri"/>
          <w:b w:val="false"/>
          <w:bCs w:val="false"/>
          <w:i w:val="false"/>
          <w:iCs w:val="false"/>
          <w:color w:val="1A1A1A"/>
          <w:sz w:val="20"/>
          <w:szCs w:val="20"/>
        </w:rPr>
        <w:t xml:space="preserve">Kullanılan altyapının yurt dışında konumlanması hâlinde aktarım, Kanun’un 9’uncu maddesi uyarınca yeterlilik kararı veya standart sözleşme dâhil uygun güvencelerden biri sağlanarak gerçekleştirilir.</w:t>
      </w:r>
    </w:p>
    <w:p>
      <w:pPr>
        <w:pStyle w:val="Heading1"/>
        <w:pBdr>
          <w:bottom w:val="single" w:color="C9D6E2" w:sz="8" w:space="6"/>
        </w:pBdr>
        <w:spacing w:after="160" w:before="320"/>
      </w:pPr>
      <w:r>
        <w:rPr>
          <w:rFonts w:ascii="Calibri" w:cs="Calibri" w:eastAsia="Calibri" w:hAnsi="Calibri"/>
          <w:b/>
          <w:bCs/>
          <w:color w:val="13314F"/>
          <w:sz w:val="24"/>
          <w:szCs w:val="24"/>
        </w:rPr>
        <w:t xml:space="preserve">8. Saklama Süresi</w:t>
      </w:r>
    </w:p>
    <w:p>
      <w:pPr>
        <w:spacing w:after="100" w:before="0" w:line="264"/>
        <w:jc w:val="both"/>
      </w:pPr>
      <w:r>
        <w:rPr>
          <w:rFonts w:ascii="Calibri" w:cs="Calibri" w:eastAsia="Calibri" w:hAnsi="Calibri"/>
          <w:b w:val="false"/>
          <w:bCs w:val="false"/>
          <w:i w:val="false"/>
          <w:iCs w:val="false"/>
          <w:color w:val="1A1A1A"/>
          <w:sz w:val="20"/>
          <w:szCs w:val="20"/>
        </w:rPr>
        <w:t xml:space="preserve">Form aracılığıyla iletilen kişisel verileriniz, talebinizin sonuçlandırılmasından itibaren iki (2) yıl süreyle saklanır. Talebin bir sözleşme ilişkisine dönüşmesi hâlinde, sözleşmeye ilişkin saklama süreleri uygulanır. Sürelerin sona ermesini takip eden ilk periyodik imha döneminde veriler silinir, yok edilir veya anonim hâle getirilir.</w:t>
      </w:r>
    </w:p>
    <w:p>
      <w:pPr>
        <w:pStyle w:val="Heading1"/>
        <w:pBdr>
          <w:bottom w:val="single" w:color="C9D6E2" w:sz="8" w:space="6"/>
        </w:pBdr>
        <w:spacing w:after="160" w:before="320"/>
      </w:pPr>
      <w:r>
        <w:rPr>
          <w:rFonts w:ascii="Calibri" w:cs="Calibri" w:eastAsia="Calibri" w:hAnsi="Calibri"/>
          <w:b/>
          <w:bCs/>
          <w:color w:val="13314F"/>
          <w:sz w:val="24"/>
          <w:szCs w:val="24"/>
        </w:rPr>
        <w:t xml:space="preserve">9. İlgili Kişinin Hakları</w:t>
      </w:r>
    </w:p>
    <w:p>
      <w:pPr>
        <w:spacing w:after="100" w:before="0" w:line="264"/>
        <w:jc w:val="both"/>
      </w:pPr>
      <w:r>
        <w:rPr>
          <w:rFonts w:ascii="Calibri" w:cs="Calibri" w:eastAsia="Calibri" w:hAnsi="Calibri"/>
          <w:b w:val="false"/>
          <w:bCs w:val="false"/>
          <w:i w:val="false"/>
          <w:iCs w:val="false"/>
          <w:color w:val="1A1A1A"/>
          <w:sz w:val="20"/>
          <w:szCs w:val="20"/>
        </w:rPr>
        <w:t xml:space="preserve">Kanun’un 11’inci maddesi uyarınca aşağıdaki haklara sahipsiniz:</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işlenip işlenmediğini öğrenme,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 işlenmişse buna ilişkin bilgi talep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işlenme amacını ve bunların amacına uygun kullanılıp kullanılmadığını öğrenme,</w:t>
      </w:r>
    </w:p>
    <w:p>
      <w:pPr>
        <w:pStyle w:val="ListParagraph"/>
        <w:numPr>
          <w:ilvl w:val="0"/>
          <w:numId w:val="2"/>
        </w:numPr>
        <w:spacing w:after="60" w:line="264"/>
        <w:jc w:val="both"/>
      </w:pPr>
      <w:r>
        <w:rPr>
          <w:rFonts w:ascii="Calibri" w:cs="Calibri" w:eastAsia="Calibri" w:hAnsi="Calibri"/>
          <w:color w:val="1A1A1A"/>
          <w:sz w:val="20"/>
          <w:szCs w:val="20"/>
        </w:rPr>
        <w:t xml:space="preserve">Yurt içinde veya yurt dışında kişisel verilerinin aktarıldığı üçüncü kişileri bilme,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eksik veya yanlış işlenmiş olması hâlinde bunların düzeltilmesini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Kanun’un 7’nci maddesinde öngörülen şartlar çerçevesinde kişisel verilerinin silinmesini veya yok edilmesini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Düzeltme, silme ve yok etme işlemlerinin kişisel verilerin aktarıldığı üçüncü kişilere bildirilmesini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İşlenen verilerin münhasıran otomatik sistemler vasıtasıyla analiz edilmesi suretiyle kişinin kendisi aleyhine bir sonucun ortaya çıkmasına itiraz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kanuna aykırı olarak işlenmesi sebebiyle zarara uğraması hâlinde zararın giderilmesini talep etme.</w:t>
      </w:r>
    </w:p>
    <w:p>
      <w:pPr>
        <w:pStyle w:val="Heading1"/>
        <w:pBdr>
          <w:bottom w:val="single" w:color="C9D6E2" w:sz="8" w:space="6"/>
        </w:pBdr>
        <w:spacing w:after="160" w:before="320"/>
      </w:pPr>
      <w:r>
        <w:rPr>
          <w:rFonts w:ascii="Calibri" w:cs="Calibri" w:eastAsia="Calibri" w:hAnsi="Calibri"/>
          <w:b/>
          <w:bCs/>
          <w:color w:val="13314F"/>
          <w:sz w:val="24"/>
          <w:szCs w:val="24"/>
        </w:rPr>
        <w:t xml:space="preserve">10. Başvuru Usulü</w:t>
      </w:r>
    </w:p>
    <w:p>
      <w:pPr>
        <w:spacing w:after="100" w:before="0" w:line="264"/>
        <w:jc w:val="both"/>
      </w:pPr>
      <w:r>
        <w:rPr>
          <w:rFonts w:ascii="Calibri" w:cs="Calibri" w:eastAsia="Calibri" w:hAnsi="Calibri"/>
          <w:b w:val="false"/>
          <w:bCs w:val="false"/>
          <w:i w:val="false"/>
          <w:iCs w:val="false"/>
          <w:color w:val="1A1A1A"/>
          <w:sz w:val="20"/>
          <w:szCs w:val="20"/>
        </w:rPr>
        <w:t xml:space="preserve">İlgili kişi, yukarıda sayılan haklarına ilişkin taleplerini, Veri Sorumlusuna Başvuru Usul ve Esasları Hakkında Tebliğ’de öngörülen usullere uygun olarak aşağıdaki yollarla iletir:</w:t>
      </w:r>
    </w:p>
    <w:p>
      <w:pPr>
        <w:pStyle w:val="ListParagraph"/>
        <w:numPr>
          <w:ilvl w:val="0"/>
          <w:numId w:val="2"/>
        </w:numPr>
        <w:spacing w:after="60" w:line="264"/>
        <w:jc w:val="both"/>
      </w:pPr>
      <w:r>
        <w:rPr>
          <w:rFonts w:ascii="Calibri" w:cs="Calibri" w:eastAsia="Calibri" w:hAnsi="Calibri"/>
          <w:color w:val="1A1A1A"/>
          <w:sz w:val="20"/>
          <w:szCs w:val="20"/>
        </w:rPr>
        <w:t xml:space="preserve">Islak imzalı yazılı başvurunun şahsen veya noter aracılığıyla İstanbul Kültür Üniversitesi Ataköy Yerleşkesi (İKUANTS TEKMER), Bakırköy / İstanbul adresine iletilmesi; zarfın üzerine “Kişisel Verilerin Korunması Kanunu Kapsamında Bilgi Talebi” ibaresi yazılması,</w:t>
      </w:r>
    </w:p>
    <w:p>
      <w:pPr>
        <w:pStyle w:val="ListParagraph"/>
        <w:numPr>
          <w:ilvl w:val="0"/>
          <w:numId w:val="2"/>
        </w:numPr>
        <w:spacing w:after="60" w:line="264"/>
        <w:jc w:val="both"/>
      </w:pPr>
      <w:r>
        <w:rPr>
          <w:rFonts w:ascii="Calibri" w:cs="Calibri" w:eastAsia="Calibri" w:hAnsi="Calibri"/>
          <w:color w:val="1A1A1A"/>
          <w:sz w:val="20"/>
          <w:szCs w:val="20"/>
        </w:rPr>
        <w:t xml:space="preserve">Güvenli elektronik imza veya mobil imza ile imzalanmış başvurunun ung@hs01.kep.tr kayıtlı elektronik posta adresine gönderilmesi,</w:t>
      </w:r>
    </w:p>
    <w:p>
      <w:pPr>
        <w:pStyle w:val="ListParagraph"/>
        <w:numPr>
          <w:ilvl w:val="0"/>
          <w:numId w:val="2"/>
        </w:numPr>
        <w:spacing w:after="60" w:line="264"/>
        <w:jc w:val="both"/>
      </w:pPr>
      <w:r>
        <w:rPr>
          <w:rFonts w:ascii="Calibri" w:cs="Calibri" w:eastAsia="Calibri" w:hAnsi="Calibri"/>
          <w:color w:val="1A1A1A"/>
          <w:sz w:val="20"/>
          <w:szCs w:val="20"/>
        </w:rPr>
        <w:t xml:space="preserve">Daha önce veri sorumlusuna bildirilen ve sistemde kayıtlı bulunan elektronik posta adresi kullanılarak info@ungmedical.com adresine gönderilmesi; e-posta konusuna “KVKK Bilgi Talebi” yazılması,</w:t>
      </w:r>
    </w:p>
    <w:p>
      <w:pPr>
        <w:spacing w:after="100" w:before="80" w:line="264"/>
        <w:jc w:val="both"/>
      </w:pPr>
      <w:r>
        <w:rPr>
          <w:rFonts w:ascii="Calibri" w:cs="Calibri" w:eastAsia="Calibri" w:hAnsi="Calibri"/>
          <w:b w:val="false"/>
          <w:bCs w:val="false"/>
          <w:i w:val="false"/>
          <w:iCs w:val="false"/>
          <w:color w:val="1A1A1A"/>
          <w:sz w:val="20"/>
          <w:szCs w:val="20"/>
        </w:rPr>
        <w:t xml:space="preserve">Başvurular Türkçe olarak yapılır. Başvuruda; ilgili kişinin adı, soyadı, imzası, T.C. kimlik numarası (yabancılar için uyruğu ve pasaport numarası), tebligata esas adresi, varsa bildirime esas elektronik posta adresi ve telefon numarası ile talep konusu yer alır. Başvuru, kimliği tevsik edici bilgi ve belgelerle desteklenir.</w:t>
      </w:r>
    </w:p>
    <w:p>
      <w:pPr>
        <w:spacing w:after="100" w:before="0" w:line="264"/>
        <w:jc w:val="both"/>
      </w:pPr>
      <w:r>
        <w:rPr>
          <w:rFonts w:ascii="Calibri" w:cs="Calibri" w:eastAsia="Calibri" w:hAnsi="Calibri"/>
          <w:b w:val="false"/>
          <w:bCs w:val="false"/>
          <w:i w:val="false"/>
          <w:iCs w:val="false"/>
          <w:color w:val="1A1A1A"/>
          <w:sz w:val="20"/>
          <w:szCs w:val="20"/>
        </w:rPr>
        <w:t xml:space="preserve">Talepler, niteliğine göre en kısa sürede ve her hâlükârda en geç otuz (30) gün içinde ücretsiz olarak sonuçlandırılır. İşlemin ayrıca bir maliyet gerektirmesi hâlinde Kişisel Verileri Koruma Kurulunca belirlenen tarifedeki ücret alınır.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11. Form Altında Kullanılacak Kısa Bilgilendirme Metni</w:t>
      </w:r>
    </w:p>
    <w:p>
      <w:pPr>
        <w:spacing w:after="100" w:before="0" w:line="264"/>
        <w:jc w:val="both"/>
      </w:pPr>
      <w:r>
        <w:rPr>
          <w:rFonts w:ascii="Calibri" w:cs="Calibri" w:eastAsia="Calibri" w:hAnsi="Calibri"/>
          <w:b w:val="false"/>
          <w:bCs w:val="false"/>
          <w:i w:val="false"/>
          <w:iCs w:val="false"/>
          <w:color w:val="1A1A1A"/>
          <w:sz w:val="20"/>
          <w:szCs w:val="20"/>
        </w:rPr>
        <w:t xml:space="preserve">Aşağıdaki ibare, katmanlı aydınlatma yaklaşımı gereği iletişim formunun “Gönder” butonunun hemen üzerinde, açık ve okunabilir şekilde yer almalıdır. Bağlantı, işbu Aydınlatma Metni’nin yayımlandığı sayfaya yönlendirilmelidir.</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Form Üzerinde Kullanılacak Bilgilendirme Metni</w:t>
            </w:r>
          </w:p>
          <w:p>
            <w:pPr>
              <w:spacing w:after="60" w:line="264"/>
              <w:jc w:val="both"/>
            </w:pPr>
            <w:r>
              <w:rPr>
                <w:rFonts w:ascii="Calibri" w:cs="Calibri" w:eastAsia="Calibri" w:hAnsi="Calibri"/>
                <w:color w:val="1A1A1A"/>
                <w:sz w:val="19"/>
                <w:szCs w:val="19"/>
              </w:rPr>
              <w:t xml:space="preserve">Formu göndererek, paylaştığınız kişisel verilerin talebinizin değerlendirilmesi ve yanıtlanması amacıyla işleneceğini kabul etmiş olursunuz. Ayrıntılı bilgi için İletişim Formu Aydınlatma Metni’ni inceleyebilirsiniz.</w:t>
            </w:r>
          </w:p>
          <w:p>
            <w:pPr>
              <w:spacing w:after="60" w:line="264"/>
              <w:jc w:val="both"/>
            </w:pPr>
            <w:r>
              <w:rPr>
                <w:rFonts w:ascii="Calibri" w:cs="Calibri" w:eastAsia="Calibri" w:hAnsi="Calibri"/>
                <w:color w:val="1A1A1A"/>
                <w:sz w:val="19"/>
                <w:szCs w:val="19"/>
              </w:rPr>
              <w:t xml:space="preserve">Mesaj alanına sağlık bilgisi veya diğer özel nitelikli kişisel verilerinizi yazmayınız.</w:t>
            </w:r>
          </w:p>
        </w:tc>
      </w:tr>
    </w:tbl>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Tarihi</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UNGT-KVKK-IFAM-01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UNGT-KVKK-IFAM-01 · İletişim Formu Aydınlatma Metni</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www.ungteknoloji.com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2026-09-01T12:57:54.952Z</dcterms:created>
  <dcterms:modified xsi:type="dcterms:W3CDTF">2026-09-01T12:57:54.952Z</dcterms:modified>
</cp:coreProperties>
</file>

<file path=docProps/custom.xml><?xml version="1.0" encoding="utf-8"?>
<Properties xmlns="http://schemas.openxmlformats.org/officeDocument/2006/custom-properties" xmlns:vt="http://schemas.openxmlformats.org/officeDocument/2006/docPropsVTypes"/>
</file>